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3C5F" w14:textId="77777777" w:rsidR="007902A5" w:rsidRDefault="007902A5" w:rsidP="007902A5">
      <w:pPr>
        <w:spacing w:line="240" w:lineRule="auto"/>
        <w:rPr>
          <w:sz w:val="2"/>
        </w:rPr>
        <w:sectPr w:rsidR="007902A5" w:rsidSect="00A4233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5BAAF6E5" w14:textId="2AD23137" w:rsidR="00A4233C" w:rsidRDefault="00A4233C" w:rsidP="00A4233C">
      <w:pPr>
        <w:pStyle w:val="TitleHCH"/>
      </w:pPr>
      <w:r>
        <w:tab/>
      </w:r>
      <w:r>
        <w:tab/>
        <w:t>Instruction administrative</w:t>
      </w:r>
    </w:p>
    <w:p w14:paraId="48CE8B34" w14:textId="0CBD4B19" w:rsidR="00A4233C" w:rsidRPr="00A4233C" w:rsidRDefault="00A4233C" w:rsidP="00A4233C">
      <w:pPr>
        <w:pStyle w:val="SingleTxt"/>
        <w:spacing w:after="0" w:line="120" w:lineRule="exact"/>
        <w:rPr>
          <w:sz w:val="10"/>
        </w:rPr>
      </w:pPr>
    </w:p>
    <w:p w14:paraId="54F6A305" w14:textId="118C35C9" w:rsidR="00A4233C" w:rsidRPr="00A4233C" w:rsidRDefault="00A4233C" w:rsidP="00A4233C">
      <w:pPr>
        <w:pStyle w:val="SingleTxt"/>
        <w:spacing w:after="0" w:line="120" w:lineRule="exact"/>
        <w:rPr>
          <w:sz w:val="10"/>
        </w:rPr>
      </w:pPr>
    </w:p>
    <w:p w14:paraId="5E1B0AFC" w14:textId="2C297AE8" w:rsidR="00A4233C" w:rsidRDefault="00A4233C" w:rsidP="00A4233C">
      <w:pPr>
        <w:pStyle w:val="TitleH1"/>
      </w:pPr>
      <w:r>
        <w:tab/>
      </w:r>
      <w:r>
        <w:tab/>
      </w:r>
      <w:bookmarkStart w:id="0" w:name="_GoBack"/>
      <w:r>
        <w:t>Vérification de l’aptitude médicale</w:t>
      </w:r>
      <w:bookmarkEnd w:id="0"/>
    </w:p>
    <w:p w14:paraId="4E813EA3" w14:textId="09BA1571" w:rsidR="00A4233C" w:rsidRPr="00A4233C" w:rsidRDefault="00A4233C" w:rsidP="00A4233C">
      <w:pPr>
        <w:pStyle w:val="SingleTxt"/>
        <w:spacing w:after="0" w:line="120" w:lineRule="exact"/>
        <w:rPr>
          <w:sz w:val="10"/>
        </w:rPr>
      </w:pPr>
    </w:p>
    <w:p w14:paraId="42D54E17" w14:textId="3BD816DA" w:rsidR="00A4233C" w:rsidRPr="00A4233C" w:rsidRDefault="00A4233C" w:rsidP="00A4233C">
      <w:pPr>
        <w:pStyle w:val="SingleTxt"/>
        <w:spacing w:after="0" w:line="120" w:lineRule="exact"/>
        <w:rPr>
          <w:sz w:val="10"/>
        </w:rPr>
      </w:pPr>
    </w:p>
    <w:p w14:paraId="503845B2" w14:textId="4978EBA8" w:rsidR="00A4233C" w:rsidRDefault="00A4233C" w:rsidP="00A4233C">
      <w:pPr>
        <w:pStyle w:val="SingleTxt"/>
      </w:pPr>
      <w:r>
        <w:tab/>
        <w:t xml:space="preserve">En vertu des dispositions du paragraphe 4.2 de la circulaire du Secrétaire général </w:t>
      </w:r>
      <w:hyperlink r:id="rId13" w:history="1">
        <w:r w:rsidRPr="00A4233C">
          <w:rPr>
            <w:rStyle w:val="Hyperlink"/>
          </w:rPr>
          <w:t>ST/SGB/2009/4</w:t>
        </w:r>
      </w:hyperlink>
      <w:r>
        <w:t xml:space="preserve"> et aux fins de l’établissement des critères et des procédures de vérification de l’aptitude médicale conformément à l’article 4.6 du Statut du personnel et à la disposition 4.19 du Règlement du personnel, y compris pour les voyages, le Secrétaire générale adjointe à la gestion promulgue ce qui suit :</w:t>
      </w:r>
    </w:p>
    <w:p w14:paraId="6F2AA325" w14:textId="77777777" w:rsidR="00A4233C" w:rsidRPr="00A4233C" w:rsidRDefault="00A4233C" w:rsidP="00A4233C">
      <w:pPr>
        <w:pStyle w:val="SingleTxt"/>
        <w:spacing w:after="0" w:line="120" w:lineRule="exact"/>
        <w:rPr>
          <w:sz w:val="10"/>
        </w:rPr>
      </w:pPr>
    </w:p>
    <w:p w14:paraId="19D6AE82" w14:textId="46F99089" w:rsidR="00A4233C" w:rsidRDefault="00A4233C" w:rsidP="00A423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1 </w:t>
      </w:r>
    </w:p>
    <w:p w14:paraId="5BF179D5" w14:textId="31069F31" w:rsidR="00A4233C" w:rsidRDefault="00A4233C" w:rsidP="00A423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Dispositions générales </w:t>
      </w:r>
    </w:p>
    <w:p w14:paraId="6615F5FD" w14:textId="6FFD2BC8" w:rsidR="00A4233C" w:rsidRPr="00A4233C" w:rsidRDefault="00A4233C" w:rsidP="00A4233C">
      <w:pPr>
        <w:pStyle w:val="SingleTxt"/>
        <w:spacing w:after="0" w:line="120" w:lineRule="exact"/>
        <w:rPr>
          <w:sz w:val="10"/>
        </w:rPr>
      </w:pPr>
    </w:p>
    <w:p w14:paraId="59DBBA97" w14:textId="6031496E" w:rsidR="00A4233C" w:rsidRDefault="00A4233C" w:rsidP="00A423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Objet </w:t>
      </w:r>
    </w:p>
    <w:p w14:paraId="5DDAEA29" w14:textId="21B66E2C" w:rsidR="00A4233C" w:rsidRPr="00A4233C" w:rsidRDefault="00A4233C" w:rsidP="00A4233C">
      <w:pPr>
        <w:pStyle w:val="SingleTxt"/>
        <w:spacing w:after="0" w:line="120" w:lineRule="exact"/>
        <w:rPr>
          <w:sz w:val="10"/>
        </w:rPr>
      </w:pPr>
    </w:p>
    <w:p w14:paraId="5D92275E" w14:textId="01B652FC" w:rsidR="00A4233C" w:rsidRDefault="00A4233C" w:rsidP="00A4233C">
      <w:pPr>
        <w:pStyle w:val="SingleTxt"/>
      </w:pPr>
      <w:r>
        <w:t>1.1</w:t>
      </w:r>
      <w:r>
        <w:tab/>
        <w:t>La vérification de l’aptitude médicale a pour objet de veiller à ce que les fonctionnaires soient physiquement et mentalement aptes à assumer leurs fonctions sans risque pour leur sécurité et leur santé ni celles des autres, compte tenu de leur état de santé, des exigences de leur fonction, et des risques sanitaires et de l’appui sanitaire disponible au lieu d’affectation.</w:t>
      </w:r>
    </w:p>
    <w:p w14:paraId="596AEFF2" w14:textId="77777777" w:rsidR="00A4233C" w:rsidRPr="00A4233C" w:rsidRDefault="00A4233C" w:rsidP="00A4233C">
      <w:pPr>
        <w:pStyle w:val="SingleTxt"/>
        <w:spacing w:after="0" w:line="120" w:lineRule="exact"/>
        <w:rPr>
          <w:sz w:val="10"/>
        </w:rPr>
      </w:pPr>
    </w:p>
    <w:p w14:paraId="4AFD2C4C" w14:textId="1E03C6C3" w:rsidR="00A4233C" w:rsidRDefault="00A4233C" w:rsidP="00A423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Évaluation médicale </w:t>
      </w:r>
    </w:p>
    <w:p w14:paraId="11ECEC27" w14:textId="2452AF75" w:rsidR="00A4233C" w:rsidRPr="00A4233C" w:rsidRDefault="00A4233C" w:rsidP="00A4233C">
      <w:pPr>
        <w:pStyle w:val="SingleTxt"/>
        <w:spacing w:after="0" w:line="120" w:lineRule="exact"/>
        <w:rPr>
          <w:sz w:val="10"/>
        </w:rPr>
      </w:pPr>
    </w:p>
    <w:p w14:paraId="6D992FB5" w14:textId="15D011CB" w:rsidR="00A4233C" w:rsidRDefault="00A4233C" w:rsidP="00A4233C">
      <w:pPr>
        <w:pStyle w:val="SingleTxt"/>
      </w:pPr>
      <w:r>
        <w:t>1.2</w:t>
      </w:r>
      <w:r>
        <w:tab/>
        <w:t xml:space="preserve">Le Directeur du Service médical de l’ONU détermine les critères de délivrance d’un certificat d’aptitude médicale, qui peuvent comprendre la production d’une attestation de bonne santé et des antécédents médicaux, la réalisation d’un examen physique et de tests de diagnostic et l’examen de rapports médicaux. En prévision d’un voyage, la délivrance d’un certificat d’aptitude médicale peut être conditionnée à l’administration de vaccins ou la prise de médicaments et à la participation à des réunions d’information sur la situation sanitaire, si le Directeur du Service médical de l’ONU estime que c’est nécessaire. </w:t>
      </w:r>
    </w:p>
    <w:p w14:paraId="28C81343" w14:textId="77777777" w:rsidR="00A4233C" w:rsidRDefault="00A4233C" w:rsidP="00A4233C">
      <w:pPr>
        <w:pStyle w:val="SingleTxt"/>
      </w:pPr>
      <w:r>
        <w:t>1.3</w:t>
      </w:r>
      <w:r>
        <w:tab/>
        <w:t>Quand ils produisent une attestation de bonne santé, les candidats et les fonctionnaires :</w:t>
      </w:r>
    </w:p>
    <w:p w14:paraId="1E97C962" w14:textId="063863C5" w:rsidR="00A4233C" w:rsidRDefault="00A4233C" w:rsidP="00A4233C">
      <w:pPr>
        <w:pStyle w:val="SingleTxt"/>
      </w:pPr>
      <w:r>
        <w:tab/>
        <w:t>a)</w:t>
      </w:r>
      <w:r>
        <w:tab/>
        <w:t>Confirment que les renseignements qu’ils ont communiqués sont exacts ;</w:t>
      </w:r>
    </w:p>
    <w:p w14:paraId="4015787D" w14:textId="3C8536E0" w:rsidR="00A4233C" w:rsidRDefault="00A4233C" w:rsidP="00A4233C">
      <w:pPr>
        <w:pStyle w:val="SingleTxt"/>
      </w:pPr>
      <w:r>
        <w:tab/>
        <w:t>b)</w:t>
      </w:r>
      <w:r>
        <w:tab/>
        <w:t>Comprennent qu’en communiquant des renseignements inexacts, ils s’exposent aux conséquences énoncées au paragraphe 1.4 ci-dessous.</w:t>
      </w:r>
    </w:p>
    <w:p w14:paraId="12BC1C9E" w14:textId="6A474F5E" w:rsidR="00A4233C" w:rsidRDefault="00A4233C" w:rsidP="00A4233C">
      <w:pPr>
        <w:pStyle w:val="SingleTxt"/>
      </w:pPr>
      <w:r>
        <w:t>1.4</w:t>
      </w:r>
      <w:r>
        <w:tab/>
        <w:t>Dans le cadre des procédures de vérification de l’aptitude médicale, les fausses déclarations, la falsification de données, la production et l’usage de faux  peuvent entraîner des mesures administratives ou disciplinaires conformément à la disposition 10.2 du Règlement du personnel, y compris un renvoi pour faute.</w:t>
      </w:r>
    </w:p>
    <w:p w14:paraId="5AAC8065" w14:textId="77777777" w:rsidR="00A4233C" w:rsidRDefault="00A4233C" w:rsidP="00A423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Section 2 </w:t>
      </w:r>
    </w:p>
    <w:p w14:paraId="26C690D6" w14:textId="382266BC" w:rsidR="00A4233C" w:rsidRDefault="00A4233C" w:rsidP="00A423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Vérification de l’aptitude médicale à l’emploi</w:t>
      </w:r>
    </w:p>
    <w:p w14:paraId="2AAF3C08" w14:textId="592239BB" w:rsidR="00A4233C" w:rsidRPr="00A4233C" w:rsidRDefault="00A4233C" w:rsidP="00A4233C">
      <w:pPr>
        <w:pStyle w:val="SingleTxt"/>
        <w:spacing w:after="0" w:line="120" w:lineRule="exact"/>
        <w:rPr>
          <w:sz w:val="10"/>
        </w:rPr>
      </w:pPr>
    </w:p>
    <w:p w14:paraId="1F9ED407" w14:textId="63AB157B" w:rsidR="00A4233C" w:rsidRDefault="00A4233C" w:rsidP="00A423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Validité du certificat d’aptitude médicale à l’emploi</w:t>
      </w:r>
    </w:p>
    <w:p w14:paraId="69B269B6" w14:textId="79864BF5" w:rsidR="00A4233C" w:rsidRPr="00A4233C" w:rsidRDefault="00A4233C" w:rsidP="00A4233C">
      <w:pPr>
        <w:pStyle w:val="SingleTxt"/>
        <w:spacing w:after="0" w:line="120" w:lineRule="exact"/>
        <w:rPr>
          <w:sz w:val="10"/>
        </w:rPr>
      </w:pPr>
    </w:p>
    <w:p w14:paraId="2B38D135" w14:textId="5E1CF64C" w:rsidR="00A4233C" w:rsidRDefault="00A4233C" w:rsidP="00A4233C">
      <w:pPr>
        <w:pStyle w:val="SingleTxt"/>
      </w:pPr>
      <w:r>
        <w:t>2.1</w:t>
      </w:r>
      <w:r>
        <w:tab/>
        <w:t xml:space="preserve">Le certificat d’aptitude médicale à l’emploi est valable trois mois, uniquement pour le lieu d’affectation et le type de poste pour lesquels il a été délivré. </w:t>
      </w:r>
    </w:p>
    <w:p w14:paraId="3DBEAEBA" w14:textId="51C36777" w:rsidR="00A4233C" w:rsidRDefault="00A4233C" w:rsidP="00A4233C">
      <w:pPr>
        <w:pStyle w:val="SingleTxt"/>
      </w:pPr>
      <w:r>
        <w:t>2.2</w:t>
      </w:r>
      <w:r>
        <w:tab/>
        <w:t>Les candidats ou fonctionnaires qui ne satisfont pas aux critères énoncés à la section 1 ci-dessus ne sont pas jugés médicalement aptes et ne sauraient être recrutés, affectés, réaffectés ou transférés sur le lieu d’affectation ou aux fonctions pour lesquels ils sollicitaient un certificat d’aptitude médicale.</w:t>
      </w:r>
    </w:p>
    <w:p w14:paraId="19422EDC" w14:textId="77777777" w:rsidR="00A4233C" w:rsidRPr="00A4233C" w:rsidRDefault="00A4233C" w:rsidP="00A4233C">
      <w:pPr>
        <w:pStyle w:val="SingleTxt"/>
        <w:spacing w:after="0" w:line="120" w:lineRule="exact"/>
        <w:rPr>
          <w:sz w:val="10"/>
        </w:rPr>
      </w:pPr>
    </w:p>
    <w:p w14:paraId="5741F28E" w14:textId="3EB2FE8B" w:rsidR="00A4233C" w:rsidRDefault="00A4233C" w:rsidP="00A423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Vérification de l’aptitude médicale aux fins de l’engagement initial</w:t>
      </w:r>
    </w:p>
    <w:p w14:paraId="0A747FC1" w14:textId="5E6F01C9" w:rsidR="00A4233C" w:rsidRPr="00A4233C" w:rsidRDefault="00A4233C" w:rsidP="00A4233C">
      <w:pPr>
        <w:pStyle w:val="SingleTxt"/>
        <w:spacing w:after="0" w:line="120" w:lineRule="exact"/>
        <w:rPr>
          <w:sz w:val="10"/>
        </w:rPr>
      </w:pPr>
    </w:p>
    <w:p w14:paraId="18031B63" w14:textId="55FA72C7" w:rsidR="00A4233C" w:rsidRDefault="00A4233C" w:rsidP="00A4233C">
      <w:pPr>
        <w:pStyle w:val="SingleTxt"/>
      </w:pPr>
      <w:r>
        <w:t>2.3</w:t>
      </w:r>
      <w:r>
        <w:tab/>
        <w:t>Quelle que soit la durée de son engagement initial, un fonctionnaire est tenu de se soumettre à une vérification de son aptitude médicale, selon les dispositions fixées par le Directeur du Service médical de l’ONU.</w:t>
      </w:r>
    </w:p>
    <w:p w14:paraId="23338665" w14:textId="77777777" w:rsidR="00A4233C" w:rsidRPr="00A4233C" w:rsidRDefault="00A4233C" w:rsidP="00A4233C">
      <w:pPr>
        <w:pStyle w:val="SingleTxt"/>
        <w:spacing w:after="0" w:line="120" w:lineRule="exact"/>
        <w:rPr>
          <w:sz w:val="10"/>
        </w:rPr>
      </w:pPr>
    </w:p>
    <w:p w14:paraId="4A3E6AB9" w14:textId="0694ABBE" w:rsidR="00A4233C" w:rsidRDefault="00A4233C" w:rsidP="00A423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Vérification de l’aptitude médicale après l’engagement initial</w:t>
      </w:r>
    </w:p>
    <w:p w14:paraId="2D9985B1" w14:textId="726C8859" w:rsidR="00A4233C" w:rsidRPr="00A4233C" w:rsidRDefault="00A4233C" w:rsidP="00A4233C">
      <w:pPr>
        <w:pStyle w:val="SingleTxt"/>
        <w:spacing w:after="0" w:line="120" w:lineRule="exact"/>
        <w:rPr>
          <w:sz w:val="10"/>
        </w:rPr>
      </w:pPr>
    </w:p>
    <w:p w14:paraId="5791192A" w14:textId="52314D6E" w:rsidR="00A4233C" w:rsidRDefault="00A4233C" w:rsidP="00A4233C">
      <w:pPr>
        <w:pStyle w:val="SingleTxt"/>
      </w:pPr>
      <w:r>
        <w:t>2.4</w:t>
      </w:r>
      <w:r>
        <w:tab/>
        <w:t>Un certificat d’aptitude médicale peut être demandé après l’engagement initial dans les cas suivants :</w:t>
      </w:r>
    </w:p>
    <w:p w14:paraId="747F57EA" w14:textId="5578223A" w:rsidR="00A4233C" w:rsidRDefault="00A4233C" w:rsidP="00A4233C">
      <w:pPr>
        <w:pStyle w:val="SingleTxt"/>
      </w:pPr>
      <w:r>
        <w:tab/>
        <w:t>a)</w:t>
      </w:r>
      <w:r>
        <w:tab/>
        <w:t xml:space="preserve">Le fonctionnaire est affecté, réaffecté ou transféré dans un lieu d’affectation dont les conditions, notamment l’absence d’installations médicales adéquates, présentent des risques sur le plan de la santé ; </w:t>
      </w:r>
    </w:p>
    <w:p w14:paraId="545CAF48" w14:textId="39EB0BD3" w:rsidR="00A4233C" w:rsidRDefault="00A4233C" w:rsidP="00A4233C">
      <w:pPr>
        <w:pStyle w:val="SingleTxt"/>
      </w:pPr>
      <w:r>
        <w:tab/>
        <w:t>b)</w:t>
      </w:r>
      <w:r>
        <w:tab/>
        <w:t>Les capacités physiques ou mentales nécessaires pour assumer les fonctions prévues par le poste ont changé de façon notable ;</w:t>
      </w:r>
    </w:p>
    <w:p w14:paraId="02BD3FFE" w14:textId="5116575B" w:rsidR="00A4233C" w:rsidRDefault="00A4233C" w:rsidP="00A4233C">
      <w:pPr>
        <w:pStyle w:val="SingleTxt"/>
      </w:pPr>
      <w:r>
        <w:tab/>
        <w:t>c)</w:t>
      </w:r>
      <w:r>
        <w:tab/>
        <w:t xml:space="preserve">L’aptitude médicale doit être régulièrement vérifiée, sur décision du Directeur du Service médical de l’ONU ; </w:t>
      </w:r>
    </w:p>
    <w:p w14:paraId="314C96CA" w14:textId="764D5AF6" w:rsidR="00A4233C" w:rsidRDefault="00A4233C" w:rsidP="00A4233C">
      <w:pPr>
        <w:pStyle w:val="SingleTxt"/>
      </w:pPr>
      <w:r>
        <w:tab/>
        <w:t>d)</w:t>
      </w:r>
      <w:r>
        <w:tab/>
        <w:t xml:space="preserve">Le Directeur du Service médical de l’ONU l’exige, à l’issue d’une période de congé maladie. </w:t>
      </w:r>
    </w:p>
    <w:p w14:paraId="6241A0F8" w14:textId="77777777" w:rsidR="00A4233C" w:rsidRDefault="00A4233C" w:rsidP="00A4233C">
      <w:pPr>
        <w:pStyle w:val="SingleTxt"/>
      </w:pPr>
      <w:r>
        <w:t>2.5</w:t>
      </w:r>
      <w:r>
        <w:tab/>
        <w:t xml:space="preserve">En outre, un fonctionnaire peut être prié de se soumettre à une évaluation médicale si un professionnel de santé dûment habilité le juge nécessaire. </w:t>
      </w:r>
    </w:p>
    <w:p w14:paraId="266B606D" w14:textId="77777777" w:rsidR="00A4233C" w:rsidRPr="00A4233C" w:rsidRDefault="00A4233C" w:rsidP="00A4233C">
      <w:pPr>
        <w:pStyle w:val="SingleTxt"/>
        <w:spacing w:after="0" w:line="120" w:lineRule="exact"/>
        <w:rPr>
          <w:sz w:val="10"/>
        </w:rPr>
      </w:pPr>
    </w:p>
    <w:p w14:paraId="0AC935EB" w14:textId="7DE01A98" w:rsidR="00A4233C" w:rsidRDefault="00A4233C" w:rsidP="00A423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Autorité habilitée à délivrer les certificats d’aptitude médicale à l’emploi</w:t>
      </w:r>
    </w:p>
    <w:p w14:paraId="366CCF82" w14:textId="127C74FD" w:rsidR="00A4233C" w:rsidRPr="00A4233C" w:rsidRDefault="00A4233C" w:rsidP="00A4233C">
      <w:pPr>
        <w:pStyle w:val="SingleTxt"/>
        <w:spacing w:after="0" w:line="120" w:lineRule="exact"/>
        <w:rPr>
          <w:sz w:val="10"/>
        </w:rPr>
      </w:pPr>
    </w:p>
    <w:p w14:paraId="64263A75" w14:textId="1F9E0160" w:rsidR="00A4233C" w:rsidRDefault="00A4233C" w:rsidP="00A4233C">
      <w:pPr>
        <w:pStyle w:val="SingleTxt"/>
      </w:pPr>
      <w:r>
        <w:t>2.6</w:t>
      </w:r>
      <w:r>
        <w:tab/>
        <w:t>Le certificat d’aptitude médicale à l’emploi est délivré par un professionnel de santé dûment habilité du service médical du futur lieu d’affectation du fonctionnaire. À défaut, le certificat d’aptitude médicale est délivré par le service médical désigné par le Directeur du Service médical de l’ONU. Le certificat d’aptitude médicale peut être assorti, le cas échéant, de restrictions relatives à l’emploi et de recommandations d’aménagements raisonnables liés à une incapacité reconnue.</w:t>
      </w:r>
    </w:p>
    <w:p w14:paraId="3C167D90" w14:textId="77777777" w:rsidR="00A4233C" w:rsidRPr="00A4233C" w:rsidRDefault="00A4233C" w:rsidP="00A4233C">
      <w:pPr>
        <w:pStyle w:val="SingleTxt"/>
        <w:spacing w:after="0" w:line="120" w:lineRule="exact"/>
        <w:rPr>
          <w:sz w:val="10"/>
        </w:rPr>
      </w:pPr>
    </w:p>
    <w:p w14:paraId="299D7C49" w14:textId="770FC743" w:rsidR="00A4233C" w:rsidRDefault="00A4233C" w:rsidP="00A423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Évaluation médicale de sortie</w:t>
      </w:r>
    </w:p>
    <w:p w14:paraId="335C3A0B" w14:textId="5FF490AE" w:rsidR="00A4233C" w:rsidRPr="00A4233C" w:rsidRDefault="00A4233C" w:rsidP="00A4233C">
      <w:pPr>
        <w:pStyle w:val="SingleTxt"/>
        <w:spacing w:after="0" w:line="120" w:lineRule="exact"/>
        <w:rPr>
          <w:sz w:val="10"/>
        </w:rPr>
      </w:pPr>
    </w:p>
    <w:p w14:paraId="19B5D7EF" w14:textId="492AE28F" w:rsidR="00A4233C" w:rsidRDefault="00A4233C" w:rsidP="00A4233C">
      <w:pPr>
        <w:pStyle w:val="SingleTxt"/>
      </w:pPr>
      <w:r>
        <w:t>2.7</w:t>
      </w:r>
      <w:r>
        <w:tab/>
        <w:t>Sans préjudice des dispositions figurant à l’appendice D du Règlement du personnel, une évaluation médicale de sortie peut être demandée quand certaines circonstances laissent penser que l’exercice de fonctions officielles au service de l’ONU a pu avoir des incidences sur la santé du fonctionnaire en partance.</w:t>
      </w:r>
    </w:p>
    <w:p w14:paraId="34195F3D" w14:textId="77777777" w:rsidR="00A4233C" w:rsidRPr="00A4233C" w:rsidRDefault="00A4233C" w:rsidP="00A4233C">
      <w:pPr>
        <w:pStyle w:val="SingleTxt"/>
        <w:spacing w:after="0" w:line="120" w:lineRule="exact"/>
        <w:rPr>
          <w:sz w:val="10"/>
        </w:rPr>
      </w:pPr>
    </w:p>
    <w:p w14:paraId="4AE8E390" w14:textId="77777777" w:rsidR="00C466EC" w:rsidRDefault="00C466EC">
      <w:pPr>
        <w:spacing w:after="200" w:line="276" w:lineRule="auto"/>
        <w:rPr>
          <w:b/>
          <w:spacing w:val="2"/>
        </w:rPr>
      </w:pPr>
      <w:r>
        <w:br w:type="page"/>
      </w:r>
    </w:p>
    <w:p w14:paraId="7029B660" w14:textId="330E7245" w:rsidR="00A4233C" w:rsidRDefault="00C466EC" w:rsidP="00A423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A4233C">
        <w:tab/>
        <w:t>Section 3</w:t>
      </w:r>
    </w:p>
    <w:p w14:paraId="0B4676D1" w14:textId="479169D6" w:rsidR="00A4233C" w:rsidRDefault="00A4233C" w:rsidP="00A423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Vérification de l’aptitude médicale au voyage</w:t>
      </w:r>
    </w:p>
    <w:p w14:paraId="2948DFCF" w14:textId="5AAA64A4" w:rsidR="00A4233C" w:rsidRPr="00A4233C" w:rsidRDefault="00A4233C" w:rsidP="00A4233C">
      <w:pPr>
        <w:pStyle w:val="SingleTxt"/>
        <w:spacing w:after="0" w:line="120" w:lineRule="exact"/>
        <w:rPr>
          <w:sz w:val="10"/>
        </w:rPr>
      </w:pPr>
    </w:p>
    <w:p w14:paraId="6BBEBE4C" w14:textId="0AE9B491" w:rsidR="00A4233C" w:rsidRDefault="00A4233C" w:rsidP="00A423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Validité du certificat d’aptitude médicale au voyage</w:t>
      </w:r>
    </w:p>
    <w:p w14:paraId="27430647" w14:textId="71C8D1DC" w:rsidR="00A4233C" w:rsidRPr="00A4233C" w:rsidRDefault="00A4233C" w:rsidP="00A4233C">
      <w:pPr>
        <w:pStyle w:val="SingleTxt"/>
        <w:spacing w:after="0" w:line="120" w:lineRule="exact"/>
        <w:rPr>
          <w:sz w:val="10"/>
        </w:rPr>
      </w:pPr>
    </w:p>
    <w:p w14:paraId="0F9748FF" w14:textId="7C7B7A9E" w:rsidR="00A4233C" w:rsidRDefault="00A4233C" w:rsidP="00A4233C">
      <w:pPr>
        <w:pStyle w:val="SingleTxt"/>
      </w:pPr>
      <w:r>
        <w:t>3.1</w:t>
      </w:r>
      <w:r>
        <w:tab/>
        <w:t>Le certificat d’aptitude médicale au voyage est valable pour les dates et la ou les destinations demandées.</w:t>
      </w:r>
    </w:p>
    <w:p w14:paraId="39D81AF4" w14:textId="4DB638BA" w:rsidR="00A4233C" w:rsidRDefault="00A4233C" w:rsidP="00A4233C">
      <w:pPr>
        <w:pStyle w:val="SingleTxt"/>
      </w:pPr>
      <w:r>
        <w:t xml:space="preserve">3.2 </w:t>
      </w:r>
      <w:r>
        <w:tab/>
        <w:t>Les fonctionnaires qui ne satisfont pas aux critères énoncés à la section 1 ne sont pas jugés médicalement aptes à voyager et ne sauraient voyager vers le lieu d’affectation pour lequel ils sollicitaient un certificat d’aptitude médicale. Les fonctionnaires effectuant un voyage sans certificat d’aptitude médicale adéquat peuvent se voir exclus d’indemnisation au titre de l’alinéa a) de l’article 2.3 de l’appendice D au Règlement du personnel.</w:t>
      </w:r>
    </w:p>
    <w:p w14:paraId="2B9ADE1A" w14:textId="77777777" w:rsidR="00A4233C" w:rsidRPr="00A4233C" w:rsidRDefault="00A4233C" w:rsidP="00A4233C">
      <w:pPr>
        <w:pStyle w:val="SingleTxt"/>
        <w:spacing w:after="0" w:line="120" w:lineRule="exact"/>
        <w:rPr>
          <w:sz w:val="10"/>
        </w:rPr>
      </w:pPr>
    </w:p>
    <w:p w14:paraId="328EE4F3" w14:textId="75313E25" w:rsidR="00A4233C" w:rsidRDefault="00A4233C" w:rsidP="00A423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Voyages conditionnés à l’obtention d’un certificat d’aptitude médicale</w:t>
      </w:r>
    </w:p>
    <w:p w14:paraId="7D2A07E6" w14:textId="2A2B82C9" w:rsidR="00A4233C" w:rsidRPr="00A4233C" w:rsidRDefault="00A4233C" w:rsidP="00A4233C">
      <w:pPr>
        <w:pStyle w:val="SingleTxt"/>
        <w:spacing w:after="0" w:line="120" w:lineRule="exact"/>
        <w:rPr>
          <w:sz w:val="10"/>
        </w:rPr>
      </w:pPr>
    </w:p>
    <w:p w14:paraId="2EF1FDBE" w14:textId="40A83F4E" w:rsidR="00A4233C" w:rsidRDefault="00A4233C" w:rsidP="00A4233C">
      <w:pPr>
        <w:pStyle w:val="SingleTxt"/>
      </w:pPr>
      <w:r>
        <w:t>3.3</w:t>
      </w:r>
      <w:r>
        <w:tab/>
        <w:t xml:space="preserve">Un certificat d’aptitude médicale aux voyages dont la liste figure au paragraphe 3.4 ci-dessous, est nécessaire quand soit la nature du voyage, soit les conditions à destination, notamment l’absence d’installations médicales adéquates, font peser des risques sur la santé des fonctionnaires. Le Directeur du Service médical de l’ONU détermine les cas dans lesquels un certificat d’aptitude médicale est nécessaire et les critères de délivrance. </w:t>
      </w:r>
    </w:p>
    <w:p w14:paraId="14A03619" w14:textId="12BFECE7" w:rsidR="00A4233C" w:rsidRPr="00A4233C" w:rsidRDefault="00A4233C" w:rsidP="00A4233C">
      <w:pPr>
        <w:pStyle w:val="SingleTxt"/>
        <w:rPr>
          <w:w w:val="100"/>
        </w:rPr>
      </w:pPr>
      <w:r w:rsidRPr="00A4233C">
        <w:rPr>
          <w:w w:val="100"/>
        </w:rPr>
        <w:t>3.4</w:t>
      </w:r>
      <w:r w:rsidRPr="00A4233C">
        <w:rPr>
          <w:w w:val="100"/>
        </w:rPr>
        <w:tab/>
        <w:t>Un certificat d</w:t>
      </w:r>
      <w:r>
        <w:rPr>
          <w:w w:val="100"/>
        </w:rPr>
        <w:t>’</w:t>
      </w:r>
      <w:r w:rsidRPr="00A4233C">
        <w:rPr>
          <w:w w:val="100"/>
        </w:rPr>
        <w:t xml:space="preserve">aptitude médicale peut être nécessaire pour les voyages suivants :  </w:t>
      </w:r>
    </w:p>
    <w:p w14:paraId="614808EA" w14:textId="22E65206" w:rsidR="00A4233C" w:rsidRDefault="00A4233C" w:rsidP="00A4233C">
      <w:pPr>
        <w:pStyle w:val="SingleTxt"/>
      </w:pPr>
      <w:r>
        <w:tab/>
        <w:t>a)</w:t>
      </w:r>
      <w:r>
        <w:tab/>
        <w:t>Engagement initial ;</w:t>
      </w:r>
    </w:p>
    <w:p w14:paraId="238ADCD0" w14:textId="35554A66" w:rsidR="00A4233C" w:rsidRDefault="00A4233C" w:rsidP="00A4233C">
      <w:pPr>
        <w:pStyle w:val="SingleTxt"/>
      </w:pPr>
      <w:r>
        <w:tab/>
        <w:t>b)</w:t>
      </w:r>
      <w:r>
        <w:tab/>
        <w:t xml:space="preserve">Voyage officiel ; </w:t>
      </w:r>
    </w:p>
    <w:p w14:paraId="2145EF4E" w14:textId="1AAC506E" w:rsidR="00A4233C" w:rsidRDefault="00A4233C" w:rsidP="00A4233C">
      <w:pPr>
        <w:pStyle w:val="SingleTxt"/>
      </w:pPr>
      <w:r>
        <w:tab/>
        <w:t>c)</w:t>
      </w:r>
      <w:r>
        <w:tab/>
        <w:t>Changement de lieu d’affectation officiel.</w:t>
      </w:r>
    </w:p>
    <w:p w14:paraId="0EC8B8EF" w14:textId="77777777" w:rsidR="00A4233C" w:rsidRPr="00A4233C" w:rsidRDefault="00A4233C" w:rsidP="00A4233C">
      <w:pPr>
        <w:pStyle w:val="SingleTxt"/>
        <w:spacing w:after="0" w:line="120" w:lineRule="exact"/>
        <w:rPr>
          <w:sz w:val="10"/>
        </w:rPr>
      </w:pPr>
    </w:p>
    <w:p w14:paraId="12FA51B7" w14:textId="00751F66" w:rsidR="00A4233C" w:rsidRDefault="00A4233C" w:rsidP="00A4233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Autorité habilitée à délivrer les certificats d’aptitude médicale au voyage</w:t>
      </w:r>
    </w:p>
    <w:p w14:paraId="569F0C89" w14:textId="68A52973" w:rsidR="00A4233C" w:rsidRPr="00A4233C" w:rsidRDefault="00A4233C" w:rsidP="00A4233C">
      <w:pPr>
        <w:pStyle w:val="SingleTxt"/>
        <w:spacing w:after="0" w:line="120" w:lineRule="exact"/>
        <w:rPr>
          <w:sz w:val="10"/>
        </w:rPr>
      </w:pPr>
    </w:p>
    <w:p w14:paraId="281D8CCF" w14:textId="114B27AF" w:rsidR="00A4233C" w:rsidRDefault="00A4233C" w:rsidP="00A4233C">
      <w:pPr>
        <w:pStyle w:val="SingleTxt"/>
      </w:pPr>
      <w:r>
        <w:t>3.5</w:t>
      </w:r>
      <w:r>
        <w:tab/>
        <w:t>Le certificat d’aptitude médicale au voyage, y compris pour les voyages effectués en cas de changement de lieu d’affectation officiel, est délivré par un professionnel de santé dûment habilité du service médical du lieu d’affectation où se trouve le fonctionnaire au moment de la demande. À défaut, le certificat d’aptitude médicale est délivré par le service médical désigné par le Directeur du Service médical de l’ONU.</w:t>
      </w:r>
    </w:p>
    <w:p w14:paraId="2FD8B4C4" w14:textId="7F6EB8E5" w:rsidR="00A4233C" w:rsidRPr="00A4233C" w:rsidRDefault="00A4233C" w:rsidP="00A4233C">
      <w:pPr>
        <w:pStyle w:val="SingleTxt"/>
        <w:spacing w:after="0" w:line="120" w:lineRule="exact"/>
        <w:rPr>
          <w:sz w:val="10"/>
        </w:rPr>
      </w:pPr>
    </w:p>
    <w:p w14:paraId="4BADB6DD" w14:textId="77777777" w:rsidR="00A4233C" w:rsidRDefault="00A4233C" w:rsidP="00A423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p>
    <w:p w14:paraId="10AFA4F0" w14:textId="4F7B5ECE" w:rsidR="00A4233C" w:rsidRDefault="00A4233C" w:rsidP="00A423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Entrée en vigueur </w:t>
      </w:r>
    </w:p>
    <w:p w14:paraId="3D574675" w14:textId="7DD0A65D" w:rsidR="00A4233C" w:rsidRPr="00A4233C" w:rsidRDefault="00A4233C" w:rsidP="00A4233C">
      <w:pPr>
        <w:pStyle w:val="SingleTxt"/>
        <w:spacing w:after="0" w:line="120" w:lineRule="exact"/>
        <w:rPr>
          <w:sz w:val="10"/>
        </w:rPr>
      </w:pPr>
    </w:p>
    <w:p w14:paraId="480946FB" w14:textId="77777777" w:rsidR="00A4233C" w:rsidRDefault="00A4233C" w:rsidP="00A4233C">
      <w:pPr>
        <w:pStyle w:val="SingleTxt"/>
      </w:pPr>
      <w:r>
        <w:t>4.1</w:t>
      </w:r>
      <w:r>
        <w:tab/>
        <w:t>La présente instruction administrative entre en vigueur à la date de sa publication.</w:t>
      </w:r>
    </w:p>
    <w:p w14:paraId="1A5C5BDD" w14:textId="3CBD2C5F" w:rsidR="00A4233C" w:rsidRDefault="00A4233C" w:rsidP="00A4233C">
      <w:pPr>
        <w:pStyle w:val="SingleTxt"/>
      </w:pPr>
      <w:r>
        <w:t>4.2</w:t>
      </w:r>
      <w:r>
        <w:tab/>
        <w:t xml:space="preserve">Elle remplace et annule l’instruction administrative </w:t>
      </w:r>
      <w:hyperlink r:id="rId14" w:history="1">
        <w:r w:rsidRPr="00A4233C">
          <w:rPr>
            <w:rStyle w:val="Hyperlink"/>
          </w:rPr>
          <w:t>ST/AI/2011/3</w:t>
        </w:r>
      </w:hyperlink>
      <w:r>
        <w:t xml:space="preserve"> du 14 avril 2011.</w:t>
      </w:r>
    </w:p>
    <w:p w14:paraId="643CFEA8" w14:textId="129DF79D" w:rsidR="00A4233C" w:rsidRPr="00A4233C" w:rsidRDefault="00A4233C" w:rsidP="00A4233C">
      <w:pPr>
        <w:pStyle w:val="SingleTxt"/>
        <w:spacing w:after="0" w:line="120" w:lineRule="exact"/>
        <w:rPr>
          <w:sz w:val="10"/>
        </w:rPr>
      </w:pPr>
    </w:p>
    <w:p w14:paraId="33081E0C" w14:textId="79179755" w:rsidR="007902A5" w:rsidRDefault="00A4233C" w:rsidP="00A4233C">
      <w:pPr>
        <w:pStyle w:val="SingleTxt"/>
        <w:jc w:val="right"/>
        <w:rPr>
          <w:b/>
          <w:bCs/>
        </w:rPr>
      </w:pPr>
      <w:r>
        <w:t>La Secrétaire générale adjointe à la gestion</w:t>
      </w:r>
      <w:r>
        <w:br/>
        <w:t>(</w:t>
      </w:r>
      <w:r w:rsidRPr="00A4233C">
        <w:rPr>
          <w:i/>
          <w:iCs/>
        </w:rPr>
        <w:t>Signé</w:t>
      </w:r>
      <w:r>
        <w:t xml:space="preserve">) Jan </w:t>
      </w:r>
      <w:r w:rsidRPr="00A4233C">
        <w:rPr>
          <w:b/>
          <w:bCs/>
        </w:rPr>
        <w:t>Beagle</w:t>
      </w:r>
    </w:p>
    <w:p w14:paraId="19159862" w14:textId="2E750A24" w:rsidR="00A4233C" w:rsidRPr="00A4233C" w:rsidRDefault="00A4233C" w:rsidP="00A4233C">
      <w:pPr>
        <w:pStyle w:val="SingleTxt"/>
        <w:spacing w:after="0" w:line="240" w:lineRule="auto"/>
        <w:jc w:val="right"/>
      </w:pPr>
      <w:r>
        <w:rPr>
          <w:noProof/>
          <w:w w:val="100"/>
        </w:rPr>
        <mc:AlternateContent>
          <mc:Choice Requires="wps">
            <w:drawing>
              <wp:anchor distT="0" distB="0" distL="114300" distR="114300" simplePos="0" relativeHeight="251659264" behindDoc="0" locked="0" layoutInCell="1" allowOverlap="1" wp14:anchorId="5B12DD52" wp14:editId="1719999F">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7EE8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4233C" w:rsidRPr="00A4233C" w:rsidSect="00A4233C">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0B9DC" w14:textId="77777777" w:rsidR="009B179C" w:rsidRDefault="009B179C" w:rsidP="00101B18">
      <w:pPr>
        <w:spacing w:line="240" w:lineRule="auto"/>
      </w:pPr>
      <w:r>
        <w:separator/>
      </w:r>
    </w:p>
  </w:endnote>
  <w:endnote w:type="continuationSeparator" w:id="0">
    <w:p w14:paraId="77617061" w14:textId="77777777" w:rsidR="009B179C" w:rsidRDefault="009B179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902A5" w14:paraId="63D87B9E" w14:textId="77777777" w:rsidTr="007902A5">
      <w:tc>
        <w:tcPr>
          <w:tcW w:w="4920" w:type="dxa"/>
          <w:shd w:val="clear" w:color="auto" w:fill="auto"/>
        </w:tcPr>
        <w:p w14:paraId="645A9083" w14:textId="6C2F25A2" w:rsidR="007902A5" w:rsidRPr="007902A5" w:rsidRDefault="007902A5" w:rsidP="007902A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33F70">
            <w:rPr>
              <w:b w:val="0"/>
              <w:w w:val="103"/>
              <w:sz w:val="14"/>
            </w:rPr>
            <w:t>18-01440</w:t>
          </w:r>
          <w:r>
            <w:rPr>
              <w:b w:val="0"/>
              <w:w w:val="103"/>
              <w:sz w:val="14"/>
            </w:rPr>
            <w:fldChar w:fldCharType="end"/>
          </w:r>
        </w:p>
      </w:tc>
      <w:tc>
        <w:tcPr>
          <w:tcW w:w="4920" w:type="dxa"/>
          <w:shd w:val="clear" w:color="auto" w:fill="auto"/>
        </w:tcPr>
        <w:p w14:paraId="0166E7D5" w14:textId="5FCBBD74" w:rsidR="007902A5" w:rsidRPr="007902A5" w:rsidRDefault="007902A5" w:rsidP="007902A5">
          <w:pPr>
            <w:pStyle w:val="Footer"/>
            <w:rPr>
              <w:w w:val="103"/>
            </w:rPr>
          </w:pPr>
          <w:r>
            <w:rPr>
              <w:w w:val="103"/>
            </w:rPr>
            <w:fldChar w:fldCharType="begin"/>
          </w:r>
          <w:r>
            <w:rPr>
              <w:w w:val="103"/>
            </w:rPr>
            <w:instrText xml:space="preserve"> PAGE  \* Arabic  \* MERGEFORMAT </w:instrText>
          </w:r>
          <w:r>
            <w:rPr>
              <w:w w:val="103"/>
            </w:rPr>
            <w:fldChar w:fldCharType="separate"/>
          </w:r>
          <w:r w:rsidR="003E10A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E10A0">
            <w:rPr>
              <w:noProof/>
              <w:w w:val="103"/>
            </w:rPr>
            <w:t>3</w:t>
          </w:r>
          <w:r>
            <w:rPr>
              <w:w w:val="103"/>
            </w:rPr>
            <w:fldChar w:fldCharType="end"/>
          </w:r>
        </w:p>
      </w:tc>
    </w:tr>
  </w:tbl>
  <w:p w14:paraId="030B40CF" w14:textId="77777777" w:rsidR="007902A5" w:rsidRPr="007902A5" w:rsidRDefault="007902A5" w:rsidP="0079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902A5" w14:paraId="601327D8" w14:textId="77777777" w:rsidTr="007902A5">
      <w:tc>
        <w:tcPr>
          <w:tcW w:w="4920" w:type="dxa"/>
          <w:shd w:val="clear" w:color="auto" w:fill="auto"/>
        </w:tcPr>
        <w:p w14:paraId="67B04A91" w14:textId="50B2F632" w:rsidR="007902A5" w:rsidRPr="007902A5" w:rsidRDefault="007902A5" w:rsidP="007902A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E10A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E10A0">
            <w:rPr>
              <w:noProof/>
              <w:w w:val="103"/>
            </w:rPr>
            <w:t>3</w:t>
          </w:r>
          <w:r>
            <w:rPr>
              <w:w w:val="103"/>
            </w:rPr>
            <w:fldChar w:fldCharType="end"/>
          </w:r>
        </w:p>
      </w:tc>
      <w:tc>
        <w:tcPr>
          <w:tcW w:w="4920" w:type="dxa"/>
          <w:shd w:val="clear" w:color="auto" w:fill="auto"/>
        </w:tcPr>
        <w:p w14:paraId="71297FA7" w14:textId="3BC9341A" w:rsidR="007902A5" w:rsidRPr="007902A5" w:rsidRDefault="007902A5" w:rsidP="007902A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33F70">
            <w:rPr>
              <w:b w:val="0"/>
              <w:w w:val="103"/>
              <w:sz w:val="14"/>
            </w:rPr>
            <w:t>18-01440</w:t>
          </w:r>
          <w:r>
            <w:rPr>
              <w:b w:val="0"/>
              <w:w w:val="103"/>
              <w:sz w:val="14"/>
            </w:rPr>
            <w:fldChar w:fldCharType="end"/>
          </w:r>
        </w:p>
      </w:tc>
    </w:tr>
  </w:tbl>
  <w:p w14:paraId="59EC852D" w14:textId="77777777" w:rsidR="007902A5" w:rsidRPr="007902A5" w:rsidRDefault="007902A5" w:rsidP="00790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3E3D" w14:textId="77777777" w:rsidR="007902A5" w:rsidRDefault="007902A5">
    <w:pPr>
      <w:pStyle w:val="Footer"/>
    </w:pPr>
    <w:r>
      <w:rPr>
        <w:noProof/>
      </w:rPr>
      <w:drawing>
        <wp:anchor distT="0" distB="0" distL="114300" distR="114300" simplePos="0" relativeHeight="251658240" behindDoc="0" locked="0" layoutInCell="1" allowOverlap="1" wp14:anchorId="12ED175D" wp14:editId="2CA5FCB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8/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7902A5" w14:paraId="7EF89ACA" w14:textId="77777777" w:rsidTr="007902A5">
      <w:tc>
        <w:tcPr>
          <w:tcW w:w="3758" w:type="dxa"/>
        </w:tcPr>
        <w:p w14:paraId="7798929B" w14:textId="35A87066" w:rsidR="007902A5" w:rsidRDefault="007902A5" w:rsidP="007902A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33F70">
            <w:rPr>
              <w:b w:val="0"/>
              <w:sz w:val="20"/>
            </w:rPr>
            <w:t>18-01440 (F)</w:t>
          </w:r>
          <w:r>
            <w:rPr>
              <w:b w:val="0"/>
              <w:sz w:val="20"/>
            </w:rPr>
            <w:fldChar w:fldCharType="end"/>
          </w:r>
          <w:r>
            <w:rPr>
              <w:b w:val="0"/>
              <w:sz w:val="20"/>
            </w:rPr>
            <w:t xml:space="preserve">    060218    0</w:t>
          </w:r>
          <w:r w:rsidR="00C466EC">
            <w:rPr>
              <w:b w:val="0"/>
              <w:sz w:val="20"/>
            </w:rPr>
            <w:t>7</w:t>
          </w:r>
          <w:r>
            <w:rPr>
              <w:b w:val="0"/>
              <w:sz w:val="20"/>
            </w:rPr>
            <w:t>0218</w:t>
          </w:r>
        </w:p>
        <w:p w14:paraId="333D4C9B" w14:textId="2B91C1D1" w:rsidR="007902A5" w:rsidRPr="007902A5" w:rsidRDefault="007902A5" w:rsidP="007902A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33F70">
            <w:rPr>
              <w:rFonts w:ascii="Barcode 3 of 9 by request" w:hAnsi="Barcode 3 of 9 by request"/>
              <w:b w:val="0"/>
              <w:spacing w:val="0"/>
              <w:w w:val="100"/>
              <w:sz w:val="24"/>
            </w:rPr>
            <w:t>*1801440*</w:t>
          </w:r>
          <w:r>
            <w:rPr>
              <w:rFonts w:ascii="Barcode 3 of 9 by request" w:hAnsi="Barcode 3 of 9 by request"/>
              <w:b w:val="0"/>
              <w:spacing w:val="0"/>
              <w:w w:val="100"/>
              <w:sz w:val="24"/>
            </w:rPr>
            <w:fldChar w:fldCharType="end"/>
          </w:r>
        </w:p>
      </w:tc>
      <w:tc>
        <w:tcPr>
          <w:tcW w:w="4920" w:type="dxa"/>
        </w:tcPr>
        <w:p w14:paraId="51B0995E" w14:textId="77777777" w:rsidR="007902A5" w:rsidRDefault="007902A5" w:rsidP="007902A5">
          <w:pPr>
            <w:pStyle w:val="Footer"/>
            <w:spacing w:line="240" w:lineRule="atLeast"/>
            <w:jc w:val="right"/>
            <w:rPr>
              <w:b w:val="0"/>
              <w:sz w:val="20"/>
            </w:rPr>
          </w:pPr>
          <w:r>
            <w:rPr>
              <w:b w:val="0"/>
              <w:noProof/>
              <w:sz w:val="20"/>
            </w:rPr>
            <w:drawing>
              <wp:inline distT="0" distB="0" distL="0" distR="0" wp14:anchorId="76DBC4B9" wp14:editId="6816F6C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25729F3" w14:textId="77777777" w:rsidR="007902A5" w:rsidRPr="007902A5" w:rsidRDefault="007902A5" w:rsidP="007902A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6622D" w14:textId="77777777" w:rsidR="009B179C" w:rsidRDefault="009B179C" w:rsidP="00101B18">
      <w:pPr>
        <w:spacing w:line="240" w:lineRule="auto"/>
      </w:pPr>
      <w:r>
        <w:separator/>
      </w:r>
    </w:p>
  </w:footnote>
  <w:footnote w:type="continuationSeparator" w:id="0">
    <w:p w14:paraId="6A79822C" w14:textId="77777777" w:rsidR="009B179C" w:rsidRDefault="009B179C"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902A5" w14:paraId="0FB6CDB7" w14:textId="77777777" w:rsidTr="007902A5">
      <w:trPr>
        <w:trHeight w:hRule="exact" w:val="864"/>
      </w:trPr>
      <w:tc>
        <w:tcPr>
          <w:tcW w:w="4920" w:type="dxa"/>
          <w:shd w:val="clear" w:color="auto" w:fill="auto"/>
          <w:vAlign w:val="bottom"/>
        </w:tcPr>
        <w:p w14:paraId="422A5DE4" w14:textId="1AF98981" w:rsidR="007902A5" w:rsidRPr="007902A5" w:rsidRDefault="007902A5" w:rsidP="007902A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33F70">
            <w:rPr>
              <w:b/>
              <w:color w:val="000000"/>
            </w:rPr>
            <w:t>ST/AI/2018/4</w:t>
          </w:r>
          <w:r>
            <w:rPr>
              <w:b/>
              <w:color w:val="000000"/>
            </w:rPr>
            <w:fldChar w:fldCharType="end"/>
          </w:r>
        </w:p>
      </w:tc>
      <w:tc>
        <w:tcPr>
          <w:tcW w:w="4920" w:type="dxa"/>
          <w:shd w:val="clear" w:color="auto" w:fill="auto"/>
          <w:vAlign w:val="bottom"/>
        </w:tcPr>
        <w:p w14:paraId="6E60B96F" w14:textId="77777777" w:rsidR="007902A5" w:rsidRDefault="007902A5" w:rsidP="007902A5">
          <w:pPr>
            <w:pStyle w:val="Header"/>
          </w:pPr>
        </w:p>
      </w:tc>
    </w:tr>
  </w:tbl>
  <w:p w14:paraId="72FE98A7" w14:textId="77777777" w:rsidR="007902A5" w:rsidRPr="007902A5" w:rsidRDefault="007902A5" w:rsidP="007902A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902A5" w14:paraId="44E33806" w14:textId="77777777" w:rsidTr="007902A5">
      <w:trPr>
        <w:trHeight w:hRule="exact" w:val="864"/>
      </w:trPr>
      <w:tc>
        <w:tcPr>
          <w:tcW w:w="4920" w:type="dxa"/>
          <w:shd w:val="clear" w:color="auto" w:fill="auto"/>
          <w:vAlign w:val="bottom"/>
        </w:tcPr>
        <w:p w14:paraId="4558DED3" w14:textId="77777777" w:rsidR="007902A5" w:rsidRDefault="007902A5" w:rsidP="007902A5">
          <w:pPr>
            <w:pStyle w:val="Header"/>
          </w:pPr>
        </w:p>
      </w:tc>
      <w:tc>
        <w:tcPr>
          <w:tcW w:w="4920" w:type="dxa"/>
          <w:shd w:val="clear" w:color="auto" w:fill="auto"/>
          <w:vAlign w:val="bottom"/>
        </w:tcPr>
        <w:p w14:paraId="7D691F50" w14:textId="59820BCC" w:rsidR="007902A5" w:rsidRPr="007902A5" w:rsidRDefault="007902A5" w:rsidP="007902A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33F70">
            <w:rPr>
              <w:b/>
              <w:color w:val="000000"/>
            </w:rPr>
            <w:t>ST/AI/2018/4</w:t>
          </w:r>
          <w:r>
            <w:rPr>
              <w:b/>
              <w:color w:val="000000"/>
            </w:rPr>
            <w:fldChar w:fldCharType="end"/>
          </w:r>
        </w:p>
      </w:tc>
    </w:tr>
  </w:tbl>
  <w:p w14:paraId="5BE910AD" w14:textId="77777777" w:rsidR="007902A5" w:rsidRPr="007902A5" w:rsidRDefault="007902A5" w:rsidP="007902A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902A5" w14:paraId="614730C6" w14:textId="77777777" w:rsidTr="007902A5">
      <w:trPr>
        <w:trHeight w:hRule="exact" w:val="864"/>
      </w:trPr>
      <w:tc>
        <w:tcPr>
          <w:tcW w:w="1267" w:type="dxa"/>
          <w:tcBorders>
            <w:bottom w:val="single" w:sz="4" w:space="0" w:color="auto"/>
          </w:tcBorders>
          <w:shd w:val="clear" w:color="auto" w:fill="auto"/>
          <w:vAlign w:val="bottom"/>
        </w:tcPr>
        <w:p w14:paraId="4D03CF7B" w14:textId="77777777" w:rsidR="007902A5" w:rsidRDefault="007902A5" w:rsidP="007902A5">
          <w:pPr>
            <w:pStyle w:val="Header"/>
            <w:spacing w:after="120"/>
          </w:pPr>
        </w:p>
      </w:tc>
      <w:tc>
        <w:tcPr>
          <w:tcW w:w="2059" w:type="dxa"/>
          <w:tcBorders>
            <w:bottom w:val="single" w:sz="4" w:space="0" w:color="auto"/>
          </w:tcBorders>
          <w:shd w:val="clear" w:color="auto" w:fill="auto"/>
          <w:vAlign w:val="bottom"/>
        </w:tcPr>
        <w:p w14:paraId="263B7FCC" w14:textId="77777777" w:rsidR="007902A5" w:rsidRPr="007902A5" w:rsidRDefault="007902A5" w:rsidP="007902A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3A26DFB" w14:textId="77777777" w:rsidR="007902A5" w:rsidRDefault="007902A5" w:rsidP="007902A5">
          <w:pPr>
            <w:pStyle w:val="Header"/>
            <w:spacing w:after="120"/>
          </w:pPr>
        </w:p>
      </w:tc>
      <w:tc>
        <w:tcPr>
          <w:tcW w:w="6466" w:type="dxa"/>
          <w:gridSpan w:val="3"/>
          <w:tcBorders>
            <w:bottom w:val="single" w:sz="4" w:space="0" w:color="auto"/>
          </w:tcBorders>
          <w:shd w:val="clear" w:color="auto" w:fill="auto"/>
          <w:vAlign w:val="bottom"/>
        </w:tcPr>
        <w:p w14:paraId="19620ADB" w14:textId="77777777" w:rsidR="007902A5" w:rsidRPr="007902A5" w:rsidRDefault="007902A5" w:rsidP="007902A5">
          <w:pPr>
            <w:spacing w:after="80" w:line="240" w:lineRule="auto"/>
            <w:jc w:val="right"/>
            <w:rPr>
              <w:position w:val="-4"/>
            </w:rPr>
          </w:pPr>
          <w:r>
            <w:rPr>
              <w:position w:val="-4"/>
              <w:sz w:val="40"/>
            </w:rPr>
            <w:t>ST</w:t>
          </w:r>
          <w:r>
            <w:rPr>
              <w:position w:val="-4"/>
            </w:rPr>
            <w:t>/AI/2018/4</w:t>
          </w:r>
        </w:p>
      </w:tc>
    </w:tr>
    <w:tr w:rsidR="007902A5" w:rsidRPr="007902A5" w14:paraId="585C1B3E" w14:textId="77777777" w:rsidTr="007902A5">
      <w:trPr>
        <w:trHeight w:hRule="exact" w:val="2880"/>
      </w:trPr>
      <w:tc>
        <w:tcPr>
          <w:tcW w:w="1267" w:type="dxa"/>
          <w:tcBorders>
            <w:top w:val="single" w:sz="4" w:space="0" w:color="auto"/>
            <w:bottom w:val="single" w:sz="12" w:space="0" w:color="auto"/>
          </w:tcBorders>
          <w:shd w:val="clear" w:color="auto" w:fill="auto"/>
        </w:tcPr>
        <w:p w14:paraId="03270522" w14:textId="77777777" w:rsidR="007902A5" w:rsidRPr="007902A5" w:rsidRDefault="007902A5" w:rsidP="007902A5">
          <w:pPr>
            <w:pStyle w:val="Header"/>
            <w:spacing w:before="120" w:line="240" w:lineRule="auto"/>
            <w:ind w:left="-72"/>
            <w:jc w:val="center"/>
          </w:pPr>
          <w:r>
            <w:t xml:space="preserve">  </w:t>
          </w:r>
          <w:r>
            <w:rPr>
              <w:noProof/>
            </w:rPr>
            <w:drawing>
              <wp:inline distT="0" distB="0" distL="0" distR="0" wp14:anchorId="72A3EEA1" wp14:editId="1606837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AFC9DBB" w14:textId="77777777" w:rsidR="007902A5" w:rsidRPr="007902A5" w:rsidRDefault="007902A5" w:rsidP="007902A5">
          <w:pPr>
            <w:pStyle w:val="XLarge"/>
            <w:spacing w:before="109"/>
          </w:pPr>
          <w:r>
            <w:t>Secrétariat</w:t>
          </w:r>
        </w:p>
      </w:tc>
      <w:tc>
        <w:tcPr>
          <w:tcW w:w="245" w:type="dxa"/>
          <w:tcBorders>
            <w:top w:val="single" w:sz="4" w:space="0" w:color="auto"/>
            <w:bottom w:val="single" w:sz="12" w:space="0" w:color="auto"/>
          </w:tcBorders>
          <w:shd w:val="clear" w:color="auto" w:fill="auto"/>
        </w:tcPr>
        <w:p w14:paraId="183BC124" w14:textId="77777777" w:rsidR="007902A5" w:rsidRPr="007902A5" w:rsidRDefault="007902A5" w:rsidP="007902A5">
          <w:pPr>
            <w:pStyle w:val="Header"/>
            <w:spacing w:before="109"/>
          </w:pPr>
        </w:p>
      </w:tc>
      <w:tc>
        <w:tcPr>
          <w:tcW w:w="3110" w:type="dxa"/>
          <w:tcBorders>
            <w:top w:val="single" w:sz="4" w:space="0" w:color="auto"/>
            <w:bottom w:val="single" w:sz="12" w:space="0" w:color="auto"/>
          </w:tcBorders>
          <w:shd w:val="clear" w:color="auto" w:fill="auto"/>
        </w:tcPr>
        <w:p w14:paraId="476D4102" w14:textId="3A1863AB" w:rsidR="007902A5" w:rsidRPr="00A4233C" w:rsidRDefault="007902A5" w:rsidP="007902A5">
          <w:pPr>
            <w:pStyle w:val="Distribution"/>
            <w:rPr>
              <w:color w:val="000000"/>
              <w:lang w:val="fr-FR"/>
            </w:rPr>
          </w:pPr>
        </w:p>
        <w:p w14:paraId="4563CA7F" w14:textId="33B74752" w:rsidR="007902A5" w:rsidRPr="00A4233C" w:rsidRDefault="00A4233C" w:rsidP="007902A5">
          <w:pPr>
            <w:pStyle w:val="Publication"/>
            <w:rPr>
              <w:color w:val="000000"/>
              <w:lang w:val="fr-FR"/>
            </w:rPr>
          </w:pPr>
          <w:r>
            <w:rPr>
              <w:color w:val="000000"/>
              <w:lang w:val="fr-FR"/>
            </w:rPr>
            <w:t xml:space="preserve">26 janvier </w:t>
          </w:r>
          <w:r w:rsidR="007902A5" w:rsidRPr="00A4233C">
            <w:rPr>
              <w:color w:val="000000"/>
              <w:lang w:val="fr-FR"/>
            </w:rPr>
            <w:t>2018</w:t>
          </w:r>
        </w:p>
        <w:p w14:paraId="0F29F9AD" w14:textId="3407EAA5" w:rsidR="007902A5" w:rsidRPr="00A4233C" w:rsidRDefault="007902A5" w:rsidP="007902A5">
          <w:pPr>
            <w:pStyle w:val="Original"/>
            <w:rPr>
              <w:color w:val="000000"/>
              <w:lang w:val="fr-FR"/>
            </w:rPr>
          </w:pPr>
        </w:p>
      </w:tc>
    </w:tr>
  </w:tbl>
  <w:p w14:paraId="608DF89B" w14:textId="77777777" w:rsidR="007902A5" w:rsidRPr="00A4233C" w:rsidRDefault="007902A5" w:rsidP="007902A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CC4A74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CD84E1A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6DBE890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7FE4CD9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440*"/>
    <w:docVar w:name="CreationDt" w:val="06/02/2018 18:56:10"/>
    <w:docVar w:name="DocCategory" w:val="Doc"/>
    <w:docVar w:name="DocType" w:val="Final"/>
    <w:docVar w:name="DutyStation" w:val="New York"/>
    <w:docVar w:name="FooterJN" w:val="18-01440"/>
    <w:docVar w:name="jobn" w:val="18-01440 (F)"/>
    <w:docVar w:name="jobnDT" w:val="18-01440 (F)   060218"/>
    <w:docVar w:name="jobnDTDT" w:val="18-01440 (F)   060218   060218"/>
    <w:docVar w:name="JobNo" w:val="1801440F"/>
    <w:docVar w:name="JobNo2" w:val="1802670F"/>
    <w:docVar w:name="LocalDrive" w:val="0"/>
    <w:docVar w:name="OandT" w:val="BHE"/>
    <w:docVar w:name="sss1" w:val="ST/AI/2018/4"/>
    <w:docVar w:name="sss2" w:val="-"/>
    <w:docVar w:name="Symbol1" w:val="ST/AI/2018/4"/>
    <w:docVar w:name="Symbol2" w:val="-"/>
  </w:docVars>
  <w:rsids>
    <w:rsidRoot w:val="009B179C"/>
    <w:rsid w:val="0000003E"/>
    <w:rsid w:val="00002584"/>
    <w:rsid w:val="00071D43"/>
    <w:rsid w:val="00090E1C"/>
    <w:rsid w:val="000961A6"/>
    <w:rsid w:val="000B4FDB"/>
    <w:rsid w:val="000F175A"/>
    <w:rsid w:val="00101B18"/>
    <w:rsid w:val="00111415"/>
    <w:rsid w:val="00115078"/>
    <w:rsid w:val="00122A56"/>
    <w:rsid w:val="00146C6A"/>
    <w:rsid w:val="00166A0D"/>
    <w:rsid w:val="001C17F9"/>
    <w:rsid w:val="001E4B50"/>
    <w:rsid w:val="002320DE"/>
    <w:rsid w:val="00243A57"/>
    <w:rsid w:val="002478A0"/>
    <w:rsid w:val="00252212"/>
    <w:rsid w:val="002550A3"/>
    <w:rsid w:val="00272BAD"/>
    <w:rsid w:val="00277CEB"/>
    <w:rsid w:val="002A2031"/>
    <w:rsid w:val="002C1446"/>
    <w:rsid w:val="002F05F2"/>
    <w:rsid w:val="002F3500"/>
    <w:rsid w:val="003128D6"/>
    <w:rsid w:val="00317FAF"/>
    <w:rsid w:val="00321E1B"/>
    <w:rsid w:val="0036385C"/>
    <w:rsid w:val="00373D7A"/>
    <w:rsid w:val="00381803"/>
    <w:rsid w:val="003B04A9"/>
    <w:rsid w:val="003D5E56"/>
    <w:rsid w:val="003E10A0"/>
    <w:rsid w:val="003E4AFC"/>
    <w:rsid w:val="00403179"/>
    <w:rsid w:val="00440C93"/>
    <w:rsid w:val="0044558C"/>
    <w:rsid w:val="00465E65"/>
    <w:rsid w:val="00467EB9"/>
    <w:rsid w:val="00480B84"/>
    <w:rsid w:val="004C1A25"/>
    <w:rsid w:val="004D1588"/>
    <w:rsid w:val="004F466A"/>
    <w:rsid w:val="00515991"/>
    <w:rsid w:val="005225EC"/>
    <w:rsid w:val="00543E31"/>
    <w:rsid w:val="005551B8"/>
    <w:rsid w:val="00562251"/>
    <w:rsid w:val="00581942"/>
    <w:rsid w:val="0059317C"/>
    <w:rsid w:val="005F1F5F"/>
    <w:rsid w:val="006A6E6A"/>
    <w:rsid w:val="006B38A7"/>
    <w:rsid w:val="00707D9D"/>
    <w:rsid w:val="007459AE"/>
    <w:rsid w:val="00750D9B"/>
    <w:rsid w:val="007531A5"/>
    <w:rsid w:val="0076474D"/>
    <w:rsid w:val="00766F23"/>
    <w:rsid w:val="00771C9E"/>
    <w:rsid w:val="007902A5"/>
    <w:rsid w:val="007A3582"/>
    <w:rsid w:val="007B717D"/>
    <w:rsid w:val="0080617F"/>
    <w:rsid w:val="0082045E"/>
    <w:rsid w:val="008222A3"/>
    <w:rsid w:val="008357DA"/>
    <w:rsid w:val="00842946"/>
    <w:rsid w:val="008725D9"/>
    <w:rsid w:val="008736D3"/>
    <w:rsid w:val="00890CD1"/>
    <w:rsid w:val="008C77E8"/>
    <w:rsid w:val="00935932"/>
    <w:rsid w:val="00993CB7"/>
    <w:rsid w:val="009A6DF8"/>
    <w:rsid w:val="009B179C"/>
    <w:rsid w:val="00A01CA8"/>
    <w:rsid w:val="00A2494D"/>
    <w:rsid w:val="00A4233C"/>
    <w:rsid w:val="00A66315"/>
    <w:rsid w:val="00A67AA2"/>
    <w:rsid w:val="00AB0B7D"/>
    <w:rsid w:val="00AD5F2F"/>
    <w:rsid w:val="00B65BF2"/>
    <w:rsid w:val="00B858D5"/>
    <w:rsid w:val="00B9713A"/>
    <w:rsid w:val="00BB6B79"/>
    <w:rsid w:val="00BD3A3C"/>
    <w:rsid w:val="00BD4AC9"/>
    <w:rsid w:val="00C15A55"/>
    <w:rsid w:val="00C26562"/>
    <w:rsid w:val="00C33F70"/>
    <w:rsid w:val="00C466EC"/>
    <w:rsid w:val="00CB06FB"/>
    <w:rsid w:val="00CB63C5"/>
    <w:rsid w:val="00D56506"/>
    <w:rsid w:val="00D765C5"/>
    <w:rsid w:val="00DC4749"/>
    <w:rsid w:val="00E255DB"/>
    <w:rsid w:val="00E343A6"/>
    <w:rsid w:val="00E7105F"/>
    <w:rsid w:val="00E73473"/>
    <w:rsid w:val="00E96728"/>
    <w:rsid w:val="00EE37EC"/>
    <w:rsid w:val="00EF2DFA"/>
    <w:rsid w:val="00F5012D"/>
    <w:rsid w:val="00F516FB"/>
    <w:rsid w:val="00F6752B"/>
    <w:rsid w:val="00F73093"/>
    <w:rsid w:val="00FA3D05"/>
    <w:rsid w:val="00FA5CC9"/>
    <w:rsid w:val="00FB076A"/>
    <w:rsid w:val="00FB0A2C"/>
    <w:rsid w:val="00FC59F1"/>
    <w:rsid w:val="00FE56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5F6A6"/>
  <w15:chartTrackingRefBased/>
  <w15:docId w15:val="{BFB7D303-7EE1-4372-95EE-18EFD0DF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D9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50D9B"/>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50D9B"/>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50D9B"/>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50D9B"/>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50D9B"/>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50D9B"/>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50D9B"/>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50D9B"/>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50D9B"/>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50D9B"/>
    <w:pPr>
      <w:keepNext/>
      <w:keepLines/>
      <w:suppressAutoHyphens/>
      <w:spacing w:line="270" w:lineRule="exact"/>
      <w:outlineLvl w:val="0"/>
    </w:pPr>
    <w:rPr>
      <w:b/>
      <w:sz w:val="24"/>
    </w:rPr>
  </w:style>
  <w:style w:type="paragraph" w:customStyle="1" w:styleId="HCH">
    <w:name w:val="_ H _CH"/>
    <w:basedOn w:val="H1"/>
    <w:next w:val="Normal"/>
    <w:qFormat/>
    <w:rsid w:val="00750D9B"/>
    <w:pPr>
      <w:spacing w:line="300" w:lineRule="exact"/>
    </w:pPr>
    <w:rPr>
      <w:spacing w:val="-2"/>
      <w:sz w:val="28"/>
    </w:rPr>
  </w:style>
  <w:style w:type="paragraph" w:customStyle="1" w:styleId="HM">
    <w:name w:val="_ H __M"/>
    <w:basedOn w:val="HCH"/>
    <w:next w:val="Normal"/>
    <w:qFormat/>
    <w:rsid w:val="00750D9B"/>
    <w:pPr>
      <w:spacing w:line="360" w:lineRule="exact"/>
    </w:pPr>
    <w:rPr>
      <w:spacing w:val="-3"/>
      <w:w w:val="99"/>
      <w:sz w:val="34"/>
    </w:rPr>
  </w:style>
  <w:style w:type="paragraph" w:customStyle="1" w:styleId="H23">
    <w:name w:val="_ H_2/3"/>
    <w:basedOn w:val="H1"/>
    <w:next w:val="SingleTxt"/>
    <w:qFormat/>
    <w:rsid w:val="00750D9B"/>
    <w:pPr>
      <w:spacing w:line="240" w:lineRule="exact"/>
      <w:outlineLvl w:val="1"/>
    </w:pPr>
    <w:rPr>
      <w:spacing w:val="2"/>
      <w:sz w:val="20"/>
    </w:rPr>
  </w:style>
  <w:style w:type="paragraph" w:customStyle="1" w:styleId="H4">
    <w:name w:val="_ H_4"/>
    <w:basedOn w:val="Normal"/>
    <w:next w:val="SingleTxt"/>
    <w:qFormat/>
    <w:rsid w:val="00750D9B"/>
    <w:pPr>
      <w:keepNext/>
      <w:keepLines/>
      <w:tabs>
        <w:tab w:val="right" w:pos="360"/>
      </w:tabs>
      <w:suppressAutoHyphens/>
      <w:outlineLvl w:val="3"/>
    </w:pPr>
    <w:rPr>
      <w:i/>
      <w:spacing w:val="3"/>
    </w:rPr>
  </w:style>
  <w:style w:type="paragraph" w:customStyle="1" w:styleId="H56">
    <w:name w:val="_ H_5/6"/>
    <w:basedOn w:val="Normal"/>
    <w:next w:val="Normal"/>
    <w:qFormat/>
    <w:rsid w:val="00750D9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50D9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50D9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50D9B"/>
    <w:pPr>
      <w:spacing w:line="540" w:lineRule="exact"/>
    </w:pPr>
    <w:rPr>
      <w:spacing w:val="-8"/>
      <w:w w:val="96"/>
      <w:sz w:val="57"/>
    </w:rPr>
  </w:style>
  <w:style w:type="paragraph" w:customStyle="1" w:styleId="SS">
    <w:name w:val="__S_S"/>
    <w:basedOn w:val="HCH"/>
    <w:next w:val="Normal"/>
    <w:qFormat/>
    <w:rsid w:val="00750D9B"/>
    <w:pPr>
      <w:ind w:left="1267" w:right="1267"/>
    </w:pPr>
  </w:style>
  <w:style w:type="paragraph" w:customStyle="1" w:styleId="SingleTxt">
    <w:name w:val="__Single Txt"/>
    <w:basedOn w:val="Normal"/>
    <w:qFormat/>
    <w:rsid w:val="00750D9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50D9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50D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50D9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50D9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0D9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50D9B"/>
    <w:pPr>
      <w:numPr>
        <w:numId w:val="29"/>
      </w:numPr>
      <w:spacing w:after="120"/>
      <w:ind w:right="1267"/>
      <w:jc w:val="both"/>
    </w:pPr>
  </w:style>
  <w:style w:type="paragraph" w:customStyle="1" w:styleId="Bullet2">
    <w:name w:val="Bullet 2"/>
    <w:basedOn w:val="Normal"/>
    <w:qFormat/>
    <w:rsid w:val="00750D9B"/>
    <w:pPr>
      <w:numPr>
        <w:numId w:val="30"/>
      </w:numPr>
      <w:spacing w:after="120"/>
      <w:ind w:right="1264"/>
      <w:jc w:val="both"/>
    </w:pPr>
  </w:style>
  <w:style w:type="paragraph" w:customStyle="1" w:styleId="Bullet3">
    <w:name w:val="Bullet 3"/>
    <w:basedOn w:val="SingleTxt"/>
    <w:qFormat/>
    <w:rsid w:val="00750D9B"/>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50D9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50D9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50D9B"/>
    <w:pPr>
      <w:spacing w:line="210" w:lineRule="exact"/>
    </w:pPr>
    <w:rPr>
      <w:sz w:val="17"/>
      <w:szCs w:val="20"/>
    </w:rPr>
  </w:style>
  <w:style w:type="character" w:customStyle="1" w:styleId="EndnoteTextChar">
    <w:name w:val="Endnote Text Char"/>
    <w:link w:val="EndnoteText"/>
    <w:uiPriority w:val="99"/>
    <w:semiHidden/>
    <w:rsid w:val="00750D9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50D9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50D9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750D9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50D9B"/>
    <w:pPr>
      <w:spacing w:line="210" w:lineRule="exact"/>
    </w:pPr>
    <w:rPr>
      <w:sz w:val="17"/>
      <w:szCs w:val="20"/>
    </w:rPr>
  </w:style>
  <w:style w:type="character" w:customStyle="1" w:styleId="FootnoteTextChar">
    <w:name w:val="Footnote Text Char"/>
    <w:link w:val="FootnoteText"/>
    <w:uiPriority w:val="99"/>
    <w:rsid w:val="00750D9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50D9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50D9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50D9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50D9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50D9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50D9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50D9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50D9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50D9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50D9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50D9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50D9B"/>
    <w:rPr>
      <w:sz w:val="14"/>
    </w:rPr>
  </w:style>
  <w:style w:type="paragraph" w:styleId="ListParagraph">
    <w:name w:val="List Paragraph"/>
    <w:basedOn w:val="Normal"/>
    <w:uiPriority w:val="34"/>
    <w:rsid w:val="00750D9B"/>
    <w:pPr>
      <w:ind w:left="720"/>
      <w:contextualSpacing/>
    </w:pPr>
  </w:style>
  <w:style w:type="paragraph" w:styleId="NoSpacing">
    <w:name w:val="No Spacing"/>
    <w:uiPriority w:val="1"/>
    <w:rsid w:val="00750D9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50D9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50D9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50D9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50D9B"/>
    <w:pPr>
      <w:tabs>
        <w:tab w:val="right" w:pos="9965"/>
      </w:tabs>
      <w:spacing w:line="210" w:lineRule="exact"/>
    </w:pPr>
    <w:rPr>
      <w:spacing w:val="5"/>
      <w:w w:val="104"/>
      <w:sz w:val="17"/>
    </w:rPr>
  </w:style>
  <w:style w:type="paragraph" w:customStyle="1" w:styleId="SmallX">
    <w:name w:val="SmallX"/>
    <w:basedOn w:val="Small"/>
    <w:next w:val="Normal"/>
    <w:qFormat/>
    <w:rsid w:val="00750D9B"/>
    <w:pPr>
      <w:spacing w:line="180" w:lineRule="exact"/>
      <w:jc w:val="right"/>
    </w:pPr>
    <w:rPr>
      <w:spacing w:val="6"/>
      <w:w w:val="106"/>
      <w:sz w:val="14"/>
    </w:rPr>
  </w:style>
  <w:style w:type="character" w:styleId="Strong">
    <w:name w:val="Strong"/>
    <w:uiPriority w:val="22"/>
    <w:rsid w:val="00750D9B"/>
    <w:rPr>
      <w:b/>
      <w:bCs/>
    </w:rPr>
  </w:style>
  <w:style w:type="paragraph" w:customStyle="1" w:styleId="Style1">
    <w:name w:val="Style1"/>
    <w:basedOn w:val="Normal"/>
    <w:qFormat/>
    <w:rsid w:val="00750D9B"/>
  </w:style>
  <w:style w:type="paragraph" w:customStyle="1" w:styleId="Style2">
    <w:name w:val="Style2"/>
    <w:basedOn w:val="Normal"/>
    <w:autoRedefine/>
    <w:qFormat/>
    <w:rsid w:val="00750D9B"/>
  </w:style>
  <w:style w:type="paragraph" w:customStyle="1" w:styleId="TitleHCH">
    <w:name w:val="Title_H_CH"/>
    <w:basedOn w:val="H1"/>
    <w:next w:val="Normal"/>
    <w:qFormat/>
    <w:rsid w:val="00750D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50D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50D9B"/>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7902A5"/>
    <w:rPr>
      <w:sz w:val="16"/>
      <w:szCs w:val="16"/>
    </w:rPr>
  </w:style>
  <w:style w:type="paragraph" w:styleId="CommentText">
    <w:name w:val="annotation text"/>
    <w:basedOn w:val="Normal"/>
    <w:link w:val="CommentTextChar"/>
    <w:uiPriority w:val="99"/>
    <w:semiHidden/>
    <w:unhideWhenUsed/>
    <w:rsid w:val="007902A5"/>
    <w:pPr>
      <w:spacing w:line="240" w:lineRule="auto"/>
    </w:pPr>
    <w:rPr>
      <w:szCs w:val="20"/>
    </w:rPr>
  </w:style>
  <w:style w:type="character" w:customStyle="1" w:styleId="CommentTextChar">
    <w:name w:val="Comment Text Char"/>
    <w:basedOn w:val="DefaultParagraphFont"/>
    <w:link w:val="CommentText"/>
    <w:uiPriority w:val="99"/>
    <w:semiHidden/>
    <w:rsid w:val="007902A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902A5"/>
    <w:rPr>
      <w:b/>
      <w:bCs/>
    </w:rPr>
  </w:style>
  <w:style w:type="character" w:customStyle="1" w:styleId="CommentSubjectChar">
    <w:name w:val="Comment Subject Char"/>
    <w:basedOn w:val="CommentTextChar"/>
    <w:link w:val="CommentSubject"/>
    <w:uiPriority w:val="99"/>
    <w:semiHidden/>
    <w:rsid w:val="007902A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4233C"/>
    <w:rPr>
      <w:color w:val="0000FF" w:themeColor="hyperlink"/>
      <w:u w:val="none"/>
    </w:rPr>
  </w:style>
  <w:style w:type="character" w:styleId="FollowedHyperlink">
    <w:name w:val="FollowedHyperlink"/>
    <w:basedOn w:val="DefaultParagraphFont"/>
    <w:uiPriority w:val="99"/>
    <w:semiHidden/>
    <w:unhideWhenUsed/>
    <w:rsid w:val="00A4233C"/>
    <w:rPr>
      <w:color w:val="0000FF"/>
      <w:u w:val="none"/>
    </w:rPr>
  </w:style>
  <w:style w:type="character" w:styleId="UnresolvedMention">
    <w:name w:val="Unresolved Mention"/>
    <w:basedOn w:val="DefaultParagraphFont"/>
    <w:uiPriority w:val="99"/>
    <w:semiHidden/>
    <w:unhideWhenUsed/>
    <w:rsid w:val="00A423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201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Diana Guiu</cp:lastModifiedBy>
  <cp:revision>2</cp:revision>
  <cp:lastPrinted>2018-02-07T00:16:00Z</cp:lastPrinted>
  <dcterms:created xsi:type="dcterms:W3CDTF">2018-02-15T15:23:00Z</dcterms:created>
  <dcterms:modified xsi:type="dcterms:W3CDTF">2018-02-15T15:23:00Z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1801440F</vt:lpwstr>
  </property>
  <property fmtid="{D5CDD505-2E9C-101B-9397-08002B2CF9AE}" pid="3" name="ODSRefJobNo">
    <vt:lpwstr>1802670F</vt:lpwstr>
  </property>
  <property fmtid="{D5CDD505-2E9C-101B-9397-08002B2CF9AE}" pid="4" name="Symbol1">
    <vt:lpwstr>ST/AI/2018/4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6 février 2018</vt:lpwstr>
  </property>
  <property fmtid="{D5CDD505-2E9C-101B-9397-08002B2CF9AE}" pid="11" name="Original">
    <vt:lpwstr>anglais</vt:lpwstr>
  </property>
  <property fmtid="{D5CDD505-2E9C-101B-9397-08002B2CF9AE}" pid="12" name="Release Date">
    <vt:lpwstr>060218</vt:lpwstr>
  </property>
  <property fmtid="{D5CDD505-2E9C-101B-9397-08002B2CF9AE}" pid="13" name="Comment">
    <vt:lpwstr/>
  </property>
  <property fmtid="{D5CDD505-2E9C-101B-9397-08002B2CF9AE}" pid="14" name="DraftPages">
    <vt:lpwstr> </vt:lpwstr>
  </property>
  <property fmtid="{D5CDD505-2E9C-101B-9397-08002B2CF9AE}" pid="15" name="Operator">
    <vt:lpwstr>BHE</vt:lpwstr>
  </property>
</Properties>
</file>